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2C360" w14:textId="77777777" w:rsidR="002C7EA2" w:rsidRDefault="00000000">
      <w:pPr>
        <w:pBdr>
          <w:top w:val="nil"/>
          <w:left w:val="nil"/>
          <w:bottom w:val="nil"/>
          <w:right w:val="nil"/>
          <w:between w:val="nil"/>
        </w:pBdr>
        <w:shd w:val="clear" w:color="auto" w:fill="FFFFFF"/>
        <w:spacing w:line="288" w:lineRule="auto"/>
        <w:ind w:left="4247" w:firstLine="709"/>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Голові</w:t>
      </w:r>
    </w:p>
    <w:p w14:paraId="6A8DFAC3" w14:textId="77777777" w:rsidR="002C7EA2" w:rsidRDefault="00000000">
      <w:pPr>
        <w:pBdr>
          <w:top w:val="nil"/>
          <w:left w:val="nil"/>
          <w:bottom w:val="nil"/>
          <w:right w:val="nil"/>
          <w:between w:val="nil"/>
        </w:pBdr>
        <w:shd w:val="clear" w:color="auto" w:fill="FFFFFF"/>
        <w:spacing w:line="288" w:lineRule="auto"/>
        <w:ind w:left="4247"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разової спеціалізованої вченої ради </w:t>
      </w:r>
    </w:p>
    <w:p w14:paraId="63D9F037" w14:textId="77777777" w:rsidR="002C7EA2" w:rsidRDefault="00000000">
      <w:pPr>
        <w:pBdr>
          <w:top w:val="nil"/>
          <w:left w:val="nil"/>
          <w:bottom w:val="nil"/>
          <w:right w:val="nil"/>
          <w:between w:val="nil"/>
        </w:pBdr>
        <w:shd w:val="clear" w:color="auto" w:fill="FFFFFF"/>
        <w:spacing w:line="288" w:lineRule="auto"/>
        <w:ind w:left="4247"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Інституту математики НАН України</w:t>
      </w:r>
    </w:p>
    <w:p w14:paraId="3AE164F8" w14:textId="77777777" w:rsidR="002C7EA2" w:rsidRDefault="00000000">
      <w:pPr>
        <w:pBdr>
          <w:top w:val="nil"/>
          <w:left w:val="nil"/>
          <w:bottom w:val="nil"/>
          <w:right w:val="nil"/>
          <w:between w:val="nil"/>
        </w:pBdr>
        <w:spacing w:line="288" w:lineRule="auto"/>
        <w:ind w:left="4247"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доктору фізико-математичних наук, </w:t>
      </w:r>
    </w:p>
    <w:p w14:paraId="73EB42A6" w14:textId="77777777" w:rsidR="002C7EA2" w:rsidRDefault="00000000">
      <w:pPr>
        <w:pBdr>
          <w:top w:val="nil"/>
          <w:left w:val="nil"/>
          <w:bottom w:val="nil"/>
          <w:right w:val="nil"/>
          <w:between w:val="nil"/>
        </w:pBdr>
        <w:spacing w:line="288" w:lineRule="auto"/>
        <w:ind w:left="4247"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заступнику директора з наукових питань </w:t>
      </w:r>
    </w:p>
    <w:p w14:paraId="2368E23A" w14:textId="77777777" w:rsidR="002C7EA2" w:rsidRDefault="00000000">
      <w:pPr>
        <w:pBdr>
          <w:top w:val="nil"/>
          <w:left w:val="nil"/>
          <w:bottom w:val="nil"/>
          <w:right w:val="nil"/>
          <w:between w:val="nil"/>
        </w:pBdr>
        <w:spacing w:line="288" w:lineRule="auto"/>
        <w:ind w:left="4247"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Інституту математики НАН України</w:t>
      </w:r>
    </w:p>
    <w:p w14:paraId="09BB91BB" w14:textId="77777777" w:rsidR="002C7EA2" w:rsidRDefault="00000000">
      <w:pPr>
        <w:pBdr>
          <w:top w:val="nil"/>
          <w:left w:val="nil"/>
          <w:bottom w:val="nil"/>
          <w:right w:val="nil"/>
          <w:between w:val="nil"/>
        </w:pBdr>
        <w:spacing w:line="288" w:lineRule="auto"/>
        <w:ind w:left="4247" w:firstLine="709"/>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Василику Віталію Богдановичу</w:t>
      </w:r>
    </w:p>
    <w:p w14:paraId="7BD2716C" w14:textId="77777777" w:rsidR="002C7EA2" w:rsidRDefault="002C7EA2">
      <w:pPr>
        <w:pBdr>
          <w:top w:val="nil"/>
          <w:left w:val="nil"/>
          <w:bottom w:val="nil"/>
          <w:right w:val="nil"/>
          <w:between w:val="nil"/>
        </w:pBdr>
        <w:shd w:val="clear" w:color="auto" w:fill="FFFFFF"/>
        <w:spacing w:line="288" w:lineRule="auto"/>
        <w:rPr>
          <w:rFonts w:ascii="Times New Roman" w:eastAsia="Times New Roman" w:hAnsi="Times New Roman" w:cs="Times New Roman"/>
          <w:color w:val="000000"/>
          <w:sz w:val="28"/>
          <w:szCs w:val="28"/>
        </w:rPr>
      </w:pPr>
    </w:p>
    <w:p w14:paraId="535628CE" w14:textId="77777777" w:rsidR="002C7EA2" w:rsidRDefault="00000000">
      <w:pPr>
        <w:shd w:val="clear" w:color="auto" w:fill="FFFFFF"/>
        <w:spacing w:line="288" w:lineRule="auto"/>
        <w:jc w:val="center"/>
        <w:rPr>
          <w:rFonts w:ascii="Times New Roman" w:eastAsia="Times New Roman" w:hAnsi="Times New Roman" w:cs="Times New Roman"/>
          <w:color w:val="000000"/>
          <w:sz w:val="28"/>
          <w:szCs w:val="28"/>
          <w:highlight w:val="red"/>
        </w:rPr>
      </w:pPr>
      <w:r>
        <w:rPr>
          <w:rFonts w:ascii="Times New Roman" w:eastAsia="Times New Roman" w:hAnsi="Times New Roman" w:cs="Times New Roman"/>
          <w:b/>
          <w:bCs/>
          <w:sz w:val="28"/>
          <w:szCs w:val="28"/>
        </w:rPr>
        <w:t>ВІДГУК</w:t>
      </w:r>
    </w:p>
    <w:p w14:paraId="2B684852" w14:textId="77777777" w:rsidR="002C7EA2" w:rsidRDefault="00000000">
      <w:pPr>
        <w:pBdr>
          <w:top w:val="nil"/>
          <w:left w:val="nil"/>
          <w:bottom w:val="nil"/>
          <w:right w:val="nil"/>
          <w:between w:val="nil"/>
        </w:pBdr>
        <w:shd w:val="clear" w:color="auto" w:fill="FFFFFF"/>
        <w:spacing w:line="288"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офіційного опонента на дисертаційну роботу</w:t>
      </w:r>
    </w:p>
    <w:p w14:paraId="5AAB3154" w14:textId="77777777" w:rsidR="002C7EA2" w:rsidRDefault="00000000">
      <w:pPr>
        <w:pBdr>
          <w:top w:val="nil"/>
          <w:left w:val="nil"/>
          <w:bottom w:val="nil"/>
          <w:right w:val="nil"/>
          <w:between w:val="nil"/>
        </w:pBdr>
        <w:shd w:val="clear" w:color="auto" w:fill="FFFFFF"/>
        <w:spacing w:line="288"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sz w:val="28"/>
          <w:szCs w:val="28"/>
        </w:rPr>
        <w:t>САМОЙЛЕНКА</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sz w:val="28"/>
          <w:szCs w:val="28"/>
        </w:rPr>
        <w:t>Олега</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sz w:val="28"/>
          <w:szCs w:val="28"/>
        </w:rPr>
        <w:t>Андрійовича</w:t>
      </w:r>
      <w:r>
        <w:rPr>
          <w:rFonts w:ascii="Times New Roman" w:eastAsia="Times New Roman" w:hAnsi="Times New Roman" w:cs="Times New Roman"/>
          <w:color w:val="000000"/>
          <w:sz w:val="28"/>
          <w:szCs w:val="28"/>
        </w:rPr>
        <w:t xml:space="preserve"> на тему:</w:t>
      </w:r>
    </w:p>
    <w:p w14:paraId="74903E8D" w14:textId="77777777" w:rsidR="002C7EA2" w:rsidRDefault="00000000">
      <w:pPr>
        <w:pBdr>
          <w:top w:val="nil"/>
          <w:left w:val="nil"/>
          <w:bottom w:val="nil"/>
          <w:right w:val="nil"/>
          <w:between w:val="nil"/>
        </w:pBdr>
        <w:shd w:val="clear" w:color="auto" w:fill="FFFFFF"/>
        <w:spacing w:line="288"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Pr>
          <w:rFonts w:ascii="Times New Roman" w:eastAsia="Times New Roman" w:hAnsi="Times New Roman" w:cs="Times New Roman"/>
          <w:sz w:val="28"/>
          <w:szCs w:val="28"/>
        </w:rPr>
        <w:t>Applied mathematical problems of visual object localization under resource constraints</w:t>
      </w:r>
      <w:r>
        <w:rPr>
          <w:rFonts w:ascii="Times New Roman" w:eastAsia="Times New Roman" w:hAnsi="Times New Roman" w:cs="Times New Roman"/>
          <w:color w:val="000000"/>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sz w:val="28"/>
          <w:szCs w:val="28"/>
        </w:rPr>
        <w:t>Прикладні математичні задачі візуальної локалізації об'єктів за умови обмежених ресурсів</w:t>
      </w:r>
      <w:r>
        <w:rPr>
          <w:rFonts w:ascii="Times New Roman" w:eastAsia="Times New Roman" w:hAnsi="Times New Roman" w:cs="Times New Roman"/>
          <w:color w:val="000000"/>
          <w:sz w:val="28"/>
          <w:szCs w:val="28"/>
        </w:rPr>
        <w:t xml:space="preserve">»), </w:t>
      </w:r>
    </w:p>
    <w:p w14:paraId="5CBC9BA9" w14:textId="77777777" w:rsidR="002C7EA2" w:rsidRDefault="00000000">
      <w:pPr>
        <w:pBdr>
          <w:top w:val="nil"/>
          <w:left w:val="nil"/>
          <w:bottom w:val="nil"/>
          <w:right w:val="nil"/>
          <w:between w:val="nil"/>
        </w:pBdr>
        <w:shd w:val="clear" w:color="auto" w:fill="FFFFFF"/>
        <w:spacing w:line="288"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подану на здобуття ступеня доктора філософії </w:t>
      </w:r>
      <w:r>
        <w:rPr>
          <w:rFonts w:ascii="Times New Roman" w:eastAsia="Times New Roman" w:hAnsi="Times New Roman" w:cs="Times New Roman"/>
          <w:color w:val="000000"/>
          <w:sz w:val="28"/>
          <w:szCs w:val="28"/>
        </w:rPr>
        <w:br/>
        <w:t xml:space="preserve">у галузі знань 11 Математика та статистика </w:t>
      </w:r>
    </w:p>
    <w:p w14:paraId="4AAC86B9" w14:textId="77777777" w:rsidR="002C7EA2" w:rsidRDefault="00000000">
      <w:pPr>
        <w:pBdr>
          <w:top w:val="nil"/>
          <w:left w:val="nil"/>
          <w:bottom w:val="nil"/>
          <w:right w:val="nil"/>
          <w:between w:val="nil"/>
        </w:pBdr>
        <w:shd w:val="clear" w:color="auto" w:fill="FFFFFF"/>
        <w:spacing w:line="288"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 спеціальністю 113 Прикладна математика.</w:t>
      </w:r>
    </w:p>
    <w:p w14:paraId="57B9495D" w14:textId="77777777" w:rsidR="002C7EA2" w:rsidRDefault="002C7EA2">
      <w:pPr>
        <w:pBdr>
          <w:top w:val="nil"/>
          <w:left w:val="nil"/>
          <w:bottom w:val="nil"/>
          <w:right w:val="nil"/>
          <w:between w:val="nil"/>
        </w:pBdr>
        <w:shd w:val="clear" w:color="auto" w:fill="FFFFFF"/>
        <w:spacing w:line="288" w:lineRule="auto"/>
        <w:jc w:val="both"/>
        <w:rPr>
          <w:rFonts w:ascii="Times New Roman" w:eastAsia="Times New Roman" w:hAnsi="Times New Roman" w:cs="Times New Roman"/>
          <w:color w:val="000000"/>
          <w:sz w:val="28"/>
          <w:szCs w:val="28"/>
        </w:rPr>
      </w:pPr>
    </w:p>
    <w:p w14:paraId="7A404CAC" w14:textId="77777777" w:rsidR="002C7EA2" w:rsidRDefault="00000000">
      <w:pPr>
        <w:pBdr>
          <w:top w:val="nil"/>
          <w:left w:val="nil"/>
          <w:bottom w:val="nil"/>
          <w:right w:val="nil"/>
          <w:between w:val="nil"/>
        </w:pBdr>
        <w:shd w:val="clear" w:color="auto" w:fill="FFFFFF"/>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b/>
      </w:r>
      <w:r>
        <w:rPr>
          <w:rFonts w:ascii="Times New Roman" w:eastAsia="Times New Roman" w:hAnsi="Times New Roman" w:cs="Times New Roman"/>
          <w:sz w:val="28"/>
          <w:szCs w:val="28"/>
        </w:rPr>
        <w:t>У дисертаційну роботі О.А. Самойленка розв'язується прикладна задача визначення положення рухомого апарата, який діє в районі з ослабленим або пригніченим супутниковим сигналом і несе обмежену бортову обчислювальну апаратуру. Здобувач поєднав дві складові, які зазвичай розробляють окремо: обробку зображень, що дає прив'язку до місцевості, і рекурсивне оцінювання, що поєднує цю прив'язку з показами сенсорів руху. Обидві складові доведено до програмної реалізації та до вимірюваних показників на наборі супутникових знімків і в середовищі імітаційного моделювання ROS2/Gazebo.</w:t>
      </w:r>
    </w:p>
    <w:p w14:paraId="0FCA652A" w14:textId="77777777" w:rsidR="002C7EA2" w:rsidRDefault="00000000">
      <w:pPr>
        <w:pBdr>
          <w:top w:val="nil"/>
          <w:left w:val="nil"/>
          <w:bottom w:val="nil"/>
          <w:right w:val="nil"/>
          <w:between w:val="nil"/>
        </w:pBdr>
        <w:shd w:val="clear" w:color="auto" w:fill="FFFFFF"/>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Тема дисертації є </w:t>
      </w:r>
      <w:r>
        <w:rPr>
          <w:rFonts w:ascii="Times New Roman" w:eastAsia="Times New Roman" w:hAnsi="Times New Roman" w:cs="Times New Roman"/>
          <w:b/>
          <w:bCs/>
          <w:sz w:val="28"/>
          <w:szCs w:val="28"/>
        </w:rPr>
        <w:t>актуальною</w:t>
      </w:r>
      <w:r>
        <w:rPr>
          <w:rFonts w:ascii="Times New Roman" w:eastAsia="Times New Roman" w:hAnsi="Times New Roman" w:cs="Times New Roman"/>
          <w:sz w:val="28"/>
          <w:szCs w:val="28"/>
        </w:rPr>
        <w:t xml:space="preserve">. Сучасні безпілотні апарати розраховані на постійну супутникову прив'язку, проте реальні умови експлуатації її не гарантують: щільна забудова, приміщення, а також навмисне глушіння та підміна сигналу. Для оборонного домену це вже не гіпотетичний сценарій, а типовий режим роботи, тому постає питання, звідки апарат візьме абсолютні координати, коли радіонавігаційний канал пригнічено. Числення шляху за одометрією чи інерціальними сенсорами відповіді не дає, бо накопичена похибка зростає з часом без обмеження. Доступним джерелом такої прив'язки лишається зображення земної поверхні, зіставлене з наперед підготовленою геоприв'язаною основою; саме це джерело й опрацьовано в дисертації. Впровадження такої прив'язки стримують дві обставини. Перша належить до комп'ютерного зору: результат зіставлення кадру з опорним знімком не буває однаково надійним, він змінюється зі зміною сезону, освітлення, ракурсу та </w:t>
      </w:r>
      <w:r>
        <w:rPr>
          <w:rFonts w:ascii="Times New Roman" w:eastAsia="Times New Roman" w:hAnsi="Times New Roman" w:cs="Times New Roman"/>
          <w:sz w:val="28"/>
          <w:szCs w:val="28"/>
        </w:rPr>
        <w:lastRenderedPageBreak/>
        <w:t>вмісту сцени, тож таке вимірювання не можна вводити в оцінювач із наперед заданою сталою вагою. Друга обставина пов'язана з доступними ресурсами: бортовий обчислювач малого апарата обмежений за продуктивністю, тому кожен метод опису ознак належить оцінювати за співвідношенням точності та часу обчислення.</w:t>
      </w:r>
    </w:p>
    <w:p w14:paraId="6297A757" w14:textId="77777777" w:rsidR="002C7EA2" w:rsidRDefault="00000000">
      <w:pP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Наукова новизна</w:t>
      </w:r>
      <w:r>
        <w:rPr>
          <w:rFonts w:ascii="Times New Roman" w:eastAsia="Times New Roman" w:hAnsi="Times New Roman" w:cs="Times New Roman"/>
          <w:sz w:val="28"/>
          <w:szCs w:val="28"/>
        </w:rPr>
        <w:t xml:space="preserve"> одержаних результатів полягає в такому. Набули подальшого розвитку методи рекурсивного оцінювання стану та злиття сенсорів: розроблено відповідний метод для мобільного робота, що рухається в площині, і підтверджено його експериментально. Запропоновано коефіцієнт валідних відповідностей – показник якості зіставлення пари зображень, що не залежить від дескриптора і тим самим пов'язує обробку зображень з оцінюванням стану. Вперше класичні дескриптори SIFT і ORB та нейромережевий детектор-дескриптор SuperPoint оцінено за єдиною схемою випробування; методи зіставлення знімків із геоприв'язаною основою набули подальшого розвитку. Набули подальшого розвитку адаптивні методи фільтрації Калмана: коваріацію візуального вимірювання зроблено явною функцією названого показника, тож ненадійний кадр входить у крок корекції з меншою вагою.</w:t>
      </w:r>
    </w:p>
    <w:p w14:paraId="6EFB9F73" w14:textId="77777777" w:rsidR="002C7EA2" w:rsidRDefault="00000000">
      <w:pPr>
        <w:shd w:val="clear" w:color="auto" w:fill="FFFFFF"/>
        <w:spacing w:line="288" w:lineRule="auto"/>
        <w:ind w:right="-874" w:firstLine="708"/>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Основні наукові результати</w:t>
      </w:r>
      <w:r>
        <w:rPr>
          <w:rFonts w:ascii="Times New Roman" w:eastAsia="Times New Roman" w:hAnsi="Times New Roman" w:cs="Times New Roman"/>
          <w:sz w:val="28"/>
          <w:szCs w:val="28"/>
        </w:rPr>
        <w:t xml:space="preserve"> роботи такі:</w:t>
      </w:r>
    </w:p>
    <w:p w14:paraId="4620FFBB" w14:textId="77777777" w:rsidR="002C7EA2" w:rsidRDefault="00000000">
      <w:pPr>
        <w:numPr>
          <w:ilvl w:val="0"/>
          <w:numId w:val="2"/>
        </w:numPr>
        <w:pBdr>
          <w:top w:val="nil"/>
          <w:left w:val="nil"/>
          <w:bottom w:val="nil"/>
          <w:right w:val="nil"/>
          <w:between w:val="nil"/>
        </w:pBdr>
        <w:shd w:val="clear" w:color="auto" w:fill="FFFFFF"/>
        <w:spacing w:line="288" w:lineRule="auto"/>
        <w:jc w:val="both"/>
        <w:rPr>
          <w:sz w:val="28"/>
          <w:szCs w:val="28"/>
        </w:rPr>
      </w:pPr>
      <w:r>
        <w:rPr>
          <w:rFonts w:ascii="Times New Roman" w:eastAsia="Times New Roman" w:hAnsi="Times New Roman" w:cs="Times New Roman"/>
          <w:sz w:val="28"/>
          <w:szCs w:val="28"/>
        </w:rPr>
        <w:t>Кінематику платформи з диференціальним приводом зведено до лінійно-гаусової форми, придатної для фільтра Калмана: записано неперервну модель, її дискретизацію за Ейлером, точну дискретизацію для кусково-сталих швидкостей і лінеаризацію першого порядку в околі поточної оцінки. Похибки кожного джерела подано моделями шуму процесу та шуму вимірювання з реалістичними числовими характеристиками.</w:t>
      </w:r>
    </w:p>
    <w:p w14:paraId="7AFF73A2" w14:textId="77777777" w:rsidR="002C7EA2" w:rsidRDefault="00000000">
      <w:pPr>
        <w:numPr>
          <w:ilvl w:val="0"/>
          <w:numId w:val="2"/>
        </w:numPr>
        <w:pBdr>
          <w:top w:val="nil"/>
          <w:left w:val="nil"/>
          <w:bottom w:val="nil"/>
          <w:right w:val="nil"/>
          <w:between w:val="nil"/>
        </w:pBdr>
        <w:shd w:val="clear" w:color="auto" w:fill="FFFFFF"/>
        <w:spacing w:line="288" w:lineRule="auto"/>
        <w:jc w:val="both"/>
        <w:rPr>
          <w:sz w:val="28"/>
          <w:szCs w:val="28"/>
        </w:rPr>
      </w:pPr>
      <w:r>
        <w:rPr>
          <w:rFonts w:ascii="Times New Roman" w:eastAsia="Times New Roman" w:hAnsi="Times New Roman" w:cs="Times New Roman"/>
          <w:sz w:val="28"/>
          <w:szCs w:val="28"/>
        </w:rPr>
        <w:t>На цій моделі побудовано метод злиття сенсорів, у якому часті відносні вимірювання переміщення поєднуються з абсолютними вимірюваннями положення, що надходять значно рідше, і перевірено його в імітаційному експерименті на квадратній траєкторії за наявної еталонної траєкторії. Середньоквадратична похибка положення становить 0,33 м, тобто на 91,4% менша, ніж у самої лише одометрії, і на 68,5% менша, ніж у самих лише супутникових даних. Виграш одержано не ускладненням моделі руху, а узгодженим урахуванням статистики похибок обох джерел.</w:t>
      </w:r>
    </w:p>
    <w:p w14:paraId="350411BA" w14:textId="77777777" w:rsidR="002C7EA2" w:rsidRDefault="00000000">
      <w:pPr>
        <w:numPr>
          <w:ilvl w:val="0"/>
          <w:numId w:val="2"/>
        </w:numPr>
        <w:pBdr>
          <w:top w:val="nil"/>
          <w:left w:val="nil"/>
          <w:bottom w:val="nil"/>
          <w:right w:val="nil"/>
          <w:between w:val="nil"/>
        </w:pBdr>
        <w:shd w:val="clear" w:color="auto" w:fill="FFFFFF"/>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Введено коефіцієнт валідних відповідностей і обчислено його значення для трьох способів опису ознак на спільному наборі супутникових знімків за одного конвеєра зіставлення з геометричною перевіркою за моделлю гомографії. Для пар знімків з перекриттям показник має </w:t>
      </w:r>
      <w:r>
        <w:rPr>
          <w:rFonts w:ascii="Times New Roman" w:eastAsia="Times New Roman" w:hAnsi="Times New Roman" w:cs="Times New Roman"/>
          <w:sz w:val="28"/>
          <w:szCs w:val="28"/>
        </w:rPr>
        <w:lastRenderedPageBreak/>
        <w:t>порядок десятків відсотків, для пар без перекриття – часток відсотка; розрив у два порядки робить цю величину придатною водночас для відбраковування хибної прив'язки і для кількісного вираження довіри до правильної.</w:t>
      </w:r>
    </w:p>
    <w:p w14:paraId="7828DA6B" w14:textId="77777777" w:rsidR="002C7EA2" w:rsidRDefault="00000000">
      <w:pPr>
        <w:numPr>
          <w:ilvl w:val="0"/>
          <w:numId w:val="2"/>
        </w:numPr>
        <w:pBdr>
          <w:top w:val="nil"/>
          <w:left w:val="nil"/>
          <w:bottom w:val="nil"/>
          <w:right w:val="nil"/>
          <w:between w:val="nil"/>
        </w:pBdr>
        <w:shd w:val="clear" w:color="auto" w:fill="FFFFFF"/>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Вперше виконано порівняння двох класичних і одного нейромережевого способів опису ознак разом за точністю та часом обчислення на апаратурі без графічного прискорювача, і з нього виведено правило вибору за обмеженого ресурсу. SIFT випереджає ORB за будь-якої кількості ключових точок: 100 точок SIFT дають вищий показник, ніж 2000 точок ORB. Подвоєння кількості точок понад 500 додає менш як один відсотковий пункт, тому робочим діапазоном визнано 200-500 точок. SuperPoint за 500 точок дає 43,81% проти 34,45% у SIFT, але коштує в декілька разів більше часу, тому виправданий лише там, де цей приріст справді потрібен.</w:t>
      </w:r>
    </w:p>
    <w:p w14:paraId="52503082" w14:textId="77777777" w:rsidR="002C7EA2" w:rsidRDefault="00000000">
      <w:pPr>
        <w:numPr>
          <w:ilvl w:val="0"/>
          <w:numId w:val="2"/>
        </w:numPr>
        <w:pBdr>
          <w:top w:val="nil"/>
          <w:left w:val="nil"/>
          <w:bottom w:val="nil"/>
          <w:right w:val="nil"/>
          <w:between w:val="nil"/>
        </w:pBdr>
        <w:shd w:val="clear" w:color="auto" w:fill="FFFFFF"/>
        <w:spacing w:line="288" w:lineRule="auto"/>
        <w:jc w:val="both"/>
        <w:rPr>
          <w:sz w:val="28"/>
          <w:szCs w:val="28"/>
        </w:rPr>
      </w:pPr>
      <w:r>
        <w:rPr>
          <w:rFonts w:ascii="Times New Roman" w:eastAsia="Times New Roman" w:hAnsi="Times New Roman" w:cs="Times New Roman"/>
          <w:sz w:val="28"/>
          <w:szCs w:val="28"/>
        </w:rPr>
        <w:t>Виведено математичну модель, яка вводить візуальне вимірювання положення в той самий рекурсивний оцінювач. Коваріацію цього вимірювання задано спадною функцією показника якості зіставлення, тому вагу кадру в кроці корекції визначає його власна якість. Модель працює у двох режимах: візуальне вимірювання замінює супутникове на час його втрати або застосовується разом із ним, і тоді обидва зважуються за оберненими коваріаціями.</w:t>
      </w:r>
    </w:p>
    <w:p w14:paraId="6961CBF5" w14:textId="77777777" w:rsidR="002C7EA2" w:rsidRDefault="00000000">
      <w:pPr>
        <w:pBdr>
          <w:top w:val="nil"/>
          <w:left w:val="nil"/>
          <w:bottom w:val="nil"/>
          <w:right w:val="nil"/>
          <w:between w:val="nil"/>
        </w:pBd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Структура</w:t>
      </w:r>
      <w:r>
        <w:rPr>
          <w:rFonts w:ascii="Times New Roman" w:eastAsia="Times New Roman" w:hAnsi="Times New Roman" w:cs="Times New Roman"/>
          <w:sz w:val="28"/>
          <w:szCs w:val="28"/>
        </w:rPr>
        <w:t xml:space="preserve"> роботи заперечень не викликає. </w:t>
      </w:r>
      <w:r>
        <w:rPr>
          <w:rFonts w:ascii="Times New Roman" w:eastAsia="Times New Roman" w:hAnsi="Times New Roman" w:cs="Times New Roman"/>
          <w:i/>
          <w:iCs/>
          <w:sz w:val="28"/>
          <w:szCs w:val="28"/>
        </w:rPr>
        <w:t>Перший розділ</w:t>
      </w:r>
      <w:r>
        <w:rPr>
          <w:rFonts w:ascii="Times New Roman" w:eastAsia="Times New Roman" w:hAnsi="Times New Roman" w:cs="Times New Roman"/>
          <w:sz w:val="28"/>
          <w:szCs w:val="28"/>
        </w:rPr>
        <w:t xml:space="preserve"> містить огляд літератури, поділений на дві частини. Першу частину присвячено комп'ютерному зору: розглянуто класичні та навчені локальні ознаки, геометричну перевірку і стійкі до викидів методи, згортання набору локальних дескрипторів у глобальний вектор та зниження його розмірності, пошук за базою зображень і розпізнавання місць, а також розгортання таких конвеєрів на бортовій апаратурі. Другу частину складають рекурсивне байєсове оцінювання, фільтрація нелінійних систем, архітектури злиття різнорідних вимірювань, адаптивні схеми та одночасне оцінювання стану з побудовою карти. Відзначу окремий підрозділ про доробок української наукової школи в навігації з корекцією за зображенням. Огляд завершено формулюванням прогалини: співвідношення точності та обчислювальної вартості і залежність поведінки фільтра від якості зіставлення досі не розглядали спільно, а числова оцінка якості зіставлення втрачається на вході в оцінювач.</w:t>
      </w:r>
    </w:p>
    <w:p w14:paraId="67DA62F3" w14:textId="77777777" w:rsidR="002C7EA2" w:rsidRDefault="00000000">
      <w:pPr>
        <w:pBdr>
          <w:top w:val="nil"/>
          <w:left w:val="nil"/>
          <w:bottom w:val="nil"/>
          <w:right w:val="nil"/>
          <w:between w:val="nil"/>
        </w:pBd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r>
      <w:r>
        <w:rPr>
          <w:rFonts w:ascii="Times New Roman" w:eastAsia="Times New Roman" w:hAnsi="Times New Roman" w:cs="Times New Roman"/>
          <w:i/>
          <w:iCs/>
          <w:sz w:val="28"/>
          <w:szCs w:val="28"/>
        </w:rPr>
        <w:t>Другий розділ</w:t>
      </w:r>
      <w:r>
        <w:rPr>
          <w:rFonts w:ascii="Times New Roman" w:eastAsia="Times New Roman" w:hAnsi="Times New Roman" w:cs="Times New Roman"/>
          <w:sz w:val="28"/>
          <w:szCs w:val="28"/>
        </w:rPr>
        <w:t xml:space="preserve"> містить виведення оцінювача: від неперервної кінематики через дискретизацію та лінеаризацію до рекурсії з кроком прогнозу та кроком корекції. Матрицю підсилення Калмана подано як компроміс між довірою до моделі руху і довірою до поточного вимірювання, а її граничні випадки розібрано окремо, що </w:t>
      </w:r>
      <w:r>
        <w:rPr>
          <w:rFonts w:ascii="Times New Roman" w:eastAsia="Times New Roman" w:hAnsi="Times New Roman" w:cs="Times New Roman"/>
          <w:sz w:val="28"/>
          <w:szCs w:val="28"/>
        </w:rPr>
        <w:lastRenderedPageBreak/>
        <w:t>робить виклад зрозумілим читачеві. Розділ не обмежено викладенням теорії: оцінювач реалізовано програмно і порівняно з двома спрощеними конфігураціями, кожна з яких спирається на одне джерело.</w:t>
      </w:r>
    </w:p>
    <w:p w14:paraId="4012E22A" w14:textId="77777777" w:rsidR="002C7EA2" w:rsidRDefault="00000000">
      <w:pPr>
        <w:pBdr>
          <w:top w:val="nil"/>
          <w:left w:val="nil"/>
          <w:bottom w:val="nil"/>
          <w:right w:val="nil"/>
          <w:between w:val="nil"/>
        </w:pBd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r>
      <w:r>
        <w:rPr>
          <w:rFonts w:ascii="Times New Roman" w:eastAsia="Times New Roman" w:hAnsi="Times New Roman" w:cs="Times New Roman"/>
          <w:i/>
          <w:iCs/>
          <w:sz w:val="28"/>
          <w:szCs w:val="28"/>
        </w:rPr>
        <w:t>Третій розділ</w:t>
      </w:r>
      <w:r>
        <w:rPr>
          <w:rFonts w:ascii="Times New Roman" w:eastAsia="Times New Roman" w:hAnsi="Times New Roman" w:cs="Times New Roman"/>
          <w:sz w:val="28"/>
          <w:szCs w:val="28"/>
        </w:rPr>
        <w:t xml:space="preserve"> становить прикладну частину роботи. Тут послідовно записано моделі цифрового зображення, виявлення та опису ознак для SIFT, ORB і SuperPoint, зіставлення дескрипторів і геометричної перевірки за гомографією, після чого всі три способи проведено крізь один і той самий конвеєр за однакових налаштувань – це робить порівняння коректним, бо різниця в результатах належить дескрипторам, а не умовам випробування. Точність і час обчислення в підсумковій таблиці стоять поруч, звідки й випливає прикладне правило вибору. Завершує розділ зв'язана модель: конвеєр зіставлення перестає бути окремим блоком і стає джерелом вимірювання з кількісно вираженою довірою.</w:t>
      </w:r>
    </w:p>
    <w:p w14:paraId="2F7B2F97" w14:textId="77777777" w:rsidR="002C7EA2" w:rsidRDefault="00000000">
      <w:pPr>
        <w:pBdr>
          <w:top w:val="nil"/>
          <w:left w:val="nil"/>
          <w:bottom w:val="nil"/>
          <w:right w:val="nil"/>
          <w:between w:val="nil"/>
        </w:pBdr>
        <w:spacing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sz w:val="28"/>
          <w:szCs w:val="28"/>
        </w:rPr>
        <w:tab/>
      </w:r>
      <w:r>
        <w:rPr>
          <w:rFonts w:ascii="Times New Roman" w:eastAsia="Times New Roman" w:hAnsi="Times New Roman" w:cs="Times New Roman"/>
          <w:color w:val="000000"/>
          <w:sz w:val="28"/>
          <w:szCs w:val="28"/>
        </w:rPr>
        <w:t xml:space="preserve">Дисертацію оформлено відповідно до вимог, що висуваються до кваліфікаційних робіт на здобуття ступеня доктора філософії. Порушень академічної доброчесності у дисертації та наукових працях </w:t>
      </w:r>
      <w:r>
        <w:rPr>
          <w:rFonts w:ascii="Times New Roman" w:eastAsia="Times New Roman" w:hAnsi="Times New Roman" w:cs="Times New Roman"/>
          <w:sz w:val="28"/>
          <w:szCs w:val="28"/>
        </w:rPr>
        <w:t>О</w:t>
      </w:r>
      <w:r>
        <w:rPr>
          <w:rFonts w:ascii="Times New Roman" w:eastAsia="Times New Roman" w:hAnsi="Times New Roman" w:cs="Times New Roman"/>
          <w:color w:val="000000"/>
          <w:sz w:val="28"/>
          <w:szCs w:val="28"/>
        </w:rPr>
        <w:t>.</w:t>
      </w:r>
      <w:r>
        <w:rPr>
          <w:rFonts w:ascii="Times New Roman" w:eastAsia="Times New Roman" w:hAnsi="Times New Roman" w:cs="Times New Roman"/>
          <w:sz w:val="28"/>
          <w:szCs w:val="28"/>
        </w:rPr>
        <w:t>А</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Самойленка</w:t>
      </w:r>
      <w:r>
        <w:rPr>
          <w:rFonts w:ascii="Times New Roman" w:eastAsia="Times New Roman" w:hAnsi="Times New Roman" w:cs="Times New Roman"/>
          <w:color w:val="000000"/>
          <w:sz w:val="28"/>
          <w:szCs w:val="28"/>
        </w:rPr>
        <w:t xml:space="preserve"> не виявлено.</w:t>
      </w:r>
    </w:p>
    <w:p w14:paraId="23DD6E87" w14:textId="77777777" w:rsidR="002C7EA2" w:rsidRDefault="00000000">
      <w:pPr>
        <w:pBdr>
          <w:top w:val="nil"/>
          <w:left w:val="nil"/>
          <w:bottom w:val="nil"/>
          <w:right w:val="nil"/>
          <w:between w:val="nil"/>
        </w:pBdr>
        <w:spacing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b/>
      </w:r>
      <w:r>
        <w:rPr>
          <w:rFonts w:ascii="Times New Roman" w:eastAsia="Times New Roman" w:hAnsi="Times New Roman" w:cs="Times New Roman"/>
          <w:color w:val="000000"/>
          <w:sz w:val="28"/>
          <w:szCs w:val="28"/>
        </w:rPr>
        <w:t>До</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sz w:val="28"/>
          <w:szCs w:val="28"/>
        </w:rPr>
        <w:t xml:space="preserve">дисертаційної роботи є такі </w:t>
      </w:r>
      <w:r>
        <w:rPr>
          <w:rFonts w:ascii="Times New Roman" w:eastAsia="Times New Roman" w:hAnsi="Times New Roman" w:cs="Times New Roman"/>
          <w:b/>
          <w:bCs/>
          <w:sz w:val="28"/>
          <w:szCs w:val="28"/>
        </w:rPr>
        <w:t>з</w:t>
      </w:r>
      <w:r>
        <w:rPr>
          <w:rFonts w:ascii="Times New Roman" w:eastAsia="Times New Roman" w:hAnsi="Times New Roman" w:cs="Times New Roman"/>
          <w:b/>
          <w:bCs/>
          <w:color w:val="000000"/>
          <w:sz w:val="28"/>
          <w:szCs w:val="28"/>
        </w:rPr>
        <w:t>ауваження</w:t>
      </w:r>
      <w:r>
        <w:rPr>
          <w:rFonts w:ascii="Times New Roman" w:eastAsia="Times New Roman" w:hAnsi="Times New Roman" w:cs="Times New Roman"/>
          <w:color w:val="000000"/>
          <w:sz w:val="28"/>
          <w:szCs w:val="28"/>
        </w:rPr>
        <w:t>:</w:t>
      </w:r>
    </w:p>
    <w:p w14:paraId="00E5ED24" w14:textId="77777777" w:rsidR="002C7EA2" w:rsidRDefault="00000000">
      <w:pPr>
        <w:numPr>
          <w:ilvl w:val="0"/>
          <w:numId w:val="1"/>
        </w:numPr>
        <w:pBdr>
          <w:top w:val="nil"/>
          <w:left w:val="nil"/>
          <w:bottom w:val="nil"/>
          <w:right w:val="nil"/>
          <w:between w:val="nil"/>
        </w:pBdr>
        <w:spacing w:line="288" w:lineRule="auto"/>
        <w:jc w:val="both"/>
        <w:rPr>
          <w:color w:val="000000"/>
          <w:sz w:val="28"/>
          <w:szCs w:val="28"/>
        </w:rPr>
      </w:pPr>
      <w:r>
        <w:rPr>
          <w:rFonts w:ascii="Times New Roman" w:eastAsia="Times New Roman" w:hAnsi="Times New Roman" w:cs="Times New Roman"/>
          <w:sz w:val="28"/>
          <w:szCs w:val="28"/>
        </w:rPr>
        <w:t>У роботі використано два джерела абсолютної прив'язки, точність яких має різну природу, проте зведення цих точностей до спільної шкали не виконано. Прив'язка за супутниковими знімками визначає положення в межах області, розмір якої залежить від масштабу знімка, тоді як супутникова навігаційна апаратура разом з колісною одометрією дає похибку іншого порядку. Коваріацію візуального вимірювання задано як функцію коефіцієнта валідних відповідностей, однак не встановлено, якій позиційній похибці в метрах відповідає конкретне значення цього коефіцієнта. Доцільно було б виконати калібрування цієї залежності до введення обох вимірювань в один крок корекції.</w:t>
      </w:r>
    </w:p>
    <w:p w14:paraId="0FC7251E" w14:textId="77777777" w:rsidR="002C7EA2" w:rsidRPr="007463A2" w:rsidRDefault="00000000">
      <w:pPr>
        <w:numPr>
          <w:ilvl w:val="0"/>
          <w:numId w:val="1"/>
        </w:numPr>
        <w:pBdr>
          <w:top w:val="nil"/>
          <w:left w:val="nil"/>
          <w:bottom w:val="nil"/>
          <w:right w:val="nil"/>
          <w:between w:val="nil"/>
        </w:pBdr>
        <w:spacing w:line="288" w:lineRule="auto"/>
        <w:jc w:val="both"/>
        <w:rPr>
          <w:rFonts w:ascii="Times New Roman" w:hAnsi="Times New Roman" w:cs="Times New Roman"/>
          <w:color w:val="000000"/>
          <w:sz w:val="28"/>
          <w:szCs w:val="28"/>
        </w:rPr>
      </w:pPr>
      <w:r w:rsidRPr="007463A2">
        <w:rPr>
          <w:rFonts w:ascii="Times New Roman" w:hAnsi="Times New Roman" w:cs="Times New Roman"/>
          <w:sz w:val="28"/>
          <w:szCs w:val="28"/>
        </w:rPr>
        <w:t xml:space="preserve">Обґрунтування статистичної моделі похибок і вибору частот наведено конспективно. Матрицю коваріації похибок узято діагональною, тобто похибки складників вважають некорельованими, проте це припущення не перевірено; не пояснено також, з яких міркувань вибрано числові значення середньоквадратичних відхилень. Частоту дискретизації та частоту надходження кадрів задано, але не досліджено як чинник точності, </w:t>
      </w:r>
      <w:r w:rsidRPr="007463A2">
        <w:rPr>
          <w:rFonts w:ascii="Times New Roman" w:eastAsia="Times New Roman" w:hAnsi="Times New Roman" w:cs="Times New Roman"/>
          <w:sz w:val="28"/>
          <w:szCs w:val="28"/>
        </w:rPr>
        <w:t>хоча у візуальних методах навігації ця залежність є істотною. Не встановлено й меж стійкості оцінювача за рівнем шуму. Доцільно доповнити роботу експериментами з різними частотами та рівнями шуму.</w:t>
      </w:r>
    </w:p>
    <w:p w14:paraId="65E7BBBA" w14:textId="77777777" w:rsidR="002C7EA2" w:rsidRDefault="00000000">
      <w:pPr>
        <w:numPr>
          <w:ilvl w:val="0"/>
          <w:numId w:val="1"/>
        </w:numPr>
        <w:pBdr>
          <w:top w:val="nil"/>
          <w:left w:val="nil"/>
          <w:bottom w:val="nil"/>
          <w:right w:val="nil"/>
          <w:between w:val="nil"/>
        </w:pBd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Експериментальну частину побудовано на супутникових знімках, тобто на зображеннях з великої висоти зі сталим масштабом і ракурсом. Для </w:t>
      </w:r>
      <w:r>
        <w:rPr>
          <w:rFonts w:ascii="Times New Roman" w:eastAsia="Times New Roman" w:hAnsi="Times New Roman" w:cs="Times New Roman"/>
          <w:sz w:val="28"/>
          <w:szCs w:val="28"/>
        </w:rPr>
        <w:lastRenderedPageBreak/>
        <w:t>практичних застосувань, насамперед для безпілотних літальних апаратів, потрібен перехід до знімків з малих висот, де змінюються масштаб і ракурс, а точність зіставлення відрізнятиметься від наведеної в роботі. Здобувачеві варто визначити, як складники запропонованої схеми будуть поєднуватися в такому режимі.</w:t>
      </w:r>
    </w:p>
    <w:p w14:paraId="0619AD05" w14:textId="77777777" w:rsidR="002C7EA2" w:rsidRDefault="00000000">
      <w:pPr>
        <w:pBdr>
          <w:top w:val="nil"/>
          <w:left w:val="nil"/>
          <w:bottom w:val="nil"/>
          <w:right w:val="nil"/>
          <w:between w:val="nil"/>
        </w:pBd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b/>
      </w:r>
      <w:r>
        <w:rPr>
          <w:rFonts w:ascii="Times New Roman" w:eastAsia="Times New Roman" w:hAnsi="Times New Roman" w:cs="Times New Roman"/>
          <w:sz w:val="28"/>
          <w:szCs w:val="28"/>
        </w:rPr>
        <w:t>Висловлені зауваження стосуються повноти експериментального дослідження та обґрунтування окремих припущень і не спростовують одержаних результатів. Дисертація є завершеною працею, доведеною до програмної реалізації та числових показників, а її результати придатні до безпосереднього використання: правило вибору методу виявлення ознак, у проектуванні бортових конвеєрів обробки зображень, а схема злиття розширена візуальним вимірюванням у системах визначення положення наземних роботів і безпілотних літальних апаратів, що діють поза зоною надійної супутникової навігації, у тому числі в оборонному секторі.</w:t>
      </w:r>
    </w:p>
    <w:p w14:paraId="220F5DE7" w14:textId="77777777" w:rsidR="002C7EA2" w:rsidRDefault="00000000">
      <w:pPr>
        <w:pBdr>
          <w:top w:val="nil"/>
          <w:left w:val="nil"/>
          <w:bottom w:val="nil"/>
          <w:right w:val="nil"/>
          <w:between w:val="nil"/>
        </w:pBdr>
        <w:spacing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color w:val="000000"/>
          <w:sz w:val="28"/>
          <w:szCs w:val="28"/>
        </w:rPr>
        <w:t xml:space="preserve">Дисертаційна робота і наукові публікації </w:t>
      </w:r>
      <w:r>
        <w:rPr>
          <w:rFonts w:ascii="Times New Roman" w:eastAsia="Times New Roman" w:hAnsi="Times New Roman" w:cs="Times New Roman"/>
          <w:sz w:val="28"/>
          <w:szCs w:val="28"/>
        </w:rPr>
        <w:t>Олега Андрійовича Самойленка</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color w:val="000000"/>
          <w:sz w:val="28"/>
          <w:szCs w:val="28"/>
        </w:rPr>
        <w:t>відповідають спеціальності 113 Прикладна математика та задовольняють вимоги постанови № 44 Кабінету Міністрів України від 12 січня 2022 р. «Про затвердження Порядку присудження ступеня доктора філософії та скасування рішення разової спеціалізованої вченої ради закладу вищої освіти, наукової установи про присудження ступеня доктора філософії», а їх автор заслуговує на присудження ступеня доктора філософії.</w:t>
      </w:r>
    </w:p>
    <w:p w14:paraId="42922C87" w14:textId="77777777" w:rsidR="002C7EA2" w:rsidRDefault="002C7EA2">
      <w:pPr>
        <w:pBdr>
          <w:top w:val="nil"/>
          <w:left w:val="nil"/>
          <w:bottom w:val="nil"/>
          <w:right w:val="nil"/>
          <w:between w:val="nil"/>
        </w:pBdr>
        <w:spacing w:line="288" w:lineRule="auto"/>
        <w:jc w:val="right"/>
        <w:rPr>
          <w:rFonts w:ascii="Times New Roman" w:eastAsia="Times New Roman" w:hAnsi="Times New Roman" w:cs="Times New Roman"/>
          <w:color w:val="000000"/>
          <w:sz w:val="28"/>
          <w:szCs w:val="28"/>
        </w:rPr>
      </w:pPr>
    </w:p>
    <w:p w14:paraId="7CC30710" w14:textId="77777777" w:rsidR="002C7EA2" w:rsidRDefault="00000000">
      <w:pPr>
        <w:pBdr>
          <w:top w:val="nil"/>
          <w:left w:val="nil"/>
          <w:bottom w:val="nil"/>
          <w:right w:val="nil"/>
          <w:between w:val="nil"/>
        </w:pBdr>
        <w:spacing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sz w:val="28"/>
          <w:szCs w:val="28"/>
        </w:rPr>
        <w:t>Офіційний опонент</w:t>
      </w:r>
      <w:r>
        <w:rPr>
          <w:rFonts w:ascii="Times New Roman" w:eastAsia="Times New Roman" w:hAnsi="Times New Roman" w:cs="Times New Roman"/>
          <w:b/>
          <w:bCs/>
          <w:color w:val="000000"/>
          <w:sz w:val="28"/>
          <w:szCs w:val="28"/>
        </w:rPr>
        <w:t>:</w:t>
      </w:r>
    </w:p>
    <w:p w14:paraId="60F2F0B7" w14:textId="77777777" w:rsidR="002C7EA2" w:rsidRDefault="00000000">
      <w:pPr>
        <w:pBdr>
          <w:top w:val="nil"/>
          <w:left w:val="nil"/>
          <w:bottom w:val="nil"/>
          <w:right w:val="nil"/>
          <w:between w:val="nil"/>
        </w:pBd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головний науковий співробітник наукової групи</w:t>
      </w:r>
    </w:p>
    <w:p w14:paraId="630978B7" w14:textId="77777777" w:rsidR="002C7EA2" w:rsidRDefault="00000000">
      <w:pPr>
        <w:pBdr>
          <w:top w:val="nil"/>
          <w:left w:val="nil"/>
          <w:bottom w:val="nil"/>
          <w:right w:val="nil"/>
          <w:between w:val="nil"/>
        </w:pBd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кафедри прикладної математики</w:t>
      </w:r>
    </w:p>
    <w:p w14:paraId="7D68F552" w14:textId="77777777" w:rsidR="002C7EA2" w:rsidRDefault="00000000">
      <w:pPr>
        <w:pBdr>
          <w:top w:val="nil"/>
          <w:left w:val="nil"/>
          <w:bottom w:val="nil"/>
          <w:right w:val="nil"/>
          <w:between w:val="nil"/>
        </w:pBd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 університету “Київський авіаційний інститут”</w:t>
      </w:r>
    </w:p>
    <w:p w14:paraId="3E9839C2" w14:textId="77777777" w:rsidR="002C7EA2" w:rsidRDefault="00000000">
      <w:pPr>
        <w:pBdr>
          <w:top w:val="nil"/>
          <w:left w:val="nil"/>
          <w:bottom w:val="nil"/>
          <w:right w:val="nil"/>
          <w:between w:val="nil"/>
        </w:pBd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доктор технічних наук, професор,</w:t>
      </w:r>
    </w:p>
    <w:p w14:paraId="70ECA1C3" w14:textId="77777777" w:rsidR="002C7EA2" w:rsidRDefault="00000000">
      <w:pPr>
        <w:pBdr>
          <w:top w:val="nil"/>
          <w:left w:val="nil"/>
          <w:bottom w:val="nil"/>
          <w:right w:val="nil"/>
          <w:between w:val="nil"/>
        </w:pBdr>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Приставка Пилип Олександрович</w:t>
      </w:r>
    </w:p>
    <w:p w14:paraId="4106B152" w14:textId="77777777" w:rsidR="002C7EA2" w:rsidRDefault="00000000">
      <w:pPr>
        <w:spacing w:line="288" w:lineRule="auto"/>
        <w:ind w:left="6480" w:firstLine="720"/>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3E608B66" wp14:editId="18D0A50B">
            <wp:extent cx="1323022" cy="980454"/>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alphaModFix amt="49000"/>
                    </a:blip>
                    <a:srcRect l="22145" t="29783" r="26987" b="49921"/>
                    <a:stretch>
                      <a:fillRect/>
                    </a:stretch>
                  </pic:blipFill>
                  <pic:spPr>
                    <a:xfrm>
                      <a:off x="0" y="0"/>
                      <a:ext cx="1323022" cy="980454"/>
                    </a:xfrm>
                    <a:prstGeom prst="rect">
                      <a:avLst/>
                    </a:prstGeom>
                    <a:ln/>
                  </pic:spPr>
                </pic:pic>
              </a:graphicData>
            </a:graphic>
          </wp:inline>
        </w:drawing>
      </w:r>
    </w:p>
    <w:p w14:paraId="38CD7DD1" w14:textId="3F993EAD" w:rsidR="002C7EA2" w:rsidRDefault="00000000">
      <w:pPr>
        <w:pBdr>
          <w:top w:val="nil"/>
          <w:left w:val="nil"/>
          <w:bottom w:val="nil"/>
          <w:right w:val="nil"/>
          <w:between w:val="nil"/>
        </w:pBdr>
        <w:spacing w:line="288" w:lineRule="auto"/>
        <w:ind w:left="432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424706">
        <w:rPr>
          <w:rFonts w:ascii="Times New Roman" w:eastAsia="Times New Roman" w:hAnsi="Times New Roman" w:cs="Times New Roman"/>
          <w:sz w:val="28"/>
          <w:szCs w:val="28"/>
          <w:lang w:val="uk-UA"/>
        </w:rPr>
        <w:t>20</w:t>
      </w:r>
      <w:r w:rsidRPr="00313273">
        <w:rPr>
          <w:rFonts w:ascii="Times New Roman" w:eastAsia="Times New Roman" w:hAnsi="Times New Roman" w:cs="Times New Roman"/>
          <w:sz w:val="28"/>
          <w:szCs w:val="28"/>
        </w:rPr>
        <w:t xml:space="preserve"> серпня</w:t>
      </w:r>
      <w:r>
        <w:rPr>
          <w:rFonts w:ascii="Times New Roman" w:eastAsia="Times New Roman" w:hAnsi="Times New Roman" w:cs="Times New Roman"/>
          <w:sz w:val="28"/>
          <w:szCs w:val="28"/>
        </w:rPr>
        <w:t xml:space="preserve"> 2026 р.</w:t>
      </w:r>
    </w:p>
    <w:sectPr w:rsidR="002C7EA2">
      <w:pgSz w:w="11906" w:h="16838"/>
      <w:pgMar w:top="851" w:right="707" w:bottom="993"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C4A05255-997F-40F2-9DDC-AFDCF6A06AB2}"/>
  </w:font>
  <w:font w:name="Courier New">
    <w:panose1 w:val="02070309020205020404"/>
    <w:charset w:val="CC"/>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1AD3FE8A-786D-4B76-82CA-710698A48990}"/>
    <w:embedBold r:id="rId3" w:fontKey="{B9BD51CF-6E61-4A74-B628-D39ED3BDD208}"/>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Italic r:id="rId4" w:fontKey="{DB7FE45B-3418-44C5-9D06-953492F0696A}"/>
  </w:font>
  <w:font w:name="Cambria">
    <w:panose1 w:val="02040503050406030204"/>
    <w:charset w:val="CC"/>
    <w:family w:val="roman"/>
    <w:pitch w:val="variable"/>
    <w:sig w:usb0="E00006FF" w:usb1="420024FF" w:usb2="02000000" w:usb3="00000000" w:csb0="0000019F" w:csb1="00000000"/>
    <w:embedRegular r:id="rId5" w:fontKey="{82F0372A-008F-4E1C-87AA-AD6E22D609C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660EF3"/>
    <w:multiLevelType w:val="multilevel"/>
    <w:tmpl w:val="1E0E8914"/>
    <w:lvl w:ilvl="0">
      <w:start w:val="1"/>
      <w:numFmt w:val="bullet"/>
      <w:lvlText w:val="●"/>
      <w:lvlJc w:val="left"/>
      <w:pPr>
        <w:ind w:left="1428" w:hanging="360"/>
      </w:pPr>
      <w:rPr>
        <w:rFonts w:ascii="Noto Sans Symbols" w:eastAsia="Noto Sans Symbols" w:hAnsi="Noto Sans Symbols" w:cs="Noto Sans Symbols"/>
        <w:vertAlign w:val="baseline"/>
      </w:rPr>
    </w:lvl>
    <w:lvl w:ilvl="1">
      <w:start w:val="1"/>
      <w:numFmt w:val="bullet"/>
      <w:lvlText w:val="o"/>
      <w:lvlJc w:val="left"/>
      <w:pPr>
        <w:ind w:left="2148" w:hanging="360"/>
      </w:pPr>
      <w:rPr>
        <w:rFonts w:ascii="Courier New" w:eastAsia="Courier New" w:hAnsi="Courier New" w:cs="Courier New"/>
        <w:vertAlign w:val="baseline"/>
      </w:rPr>
    </w:lvl>
    <w:lvl w:ilvl="2">
      <w:start w:val="1"/>
      <w:numFmt w:val="bullet"/>
      <w:lvlText w:val="▪"/>
      <w:lvlJc w:val="left"/>
      <w:pPr>
        <w:ind w:left="2868" w:hanging="360"/>
      </w:pPr>
      <w:rPr>
        <w:rFonts w:ascii="Noto Sans Symbols" w:eastAsia="Noto Sans Symbols" w:hAnsi="Noto Sans Symbols" w:cs="Noto Sans Symbols"/>
        <w:vertAlign w:val="baseline"/>
      </w:rPr>
    </w:lvl>
    <w:lvl w:ilvl="3">
      <w:start w:val="1"/>
      <w:numFmt w:val="bullet"/>
      <w:lvlText w:val="●"/>
      <w:lvlJc w:val="left"/>
      <w:pPr>
        <w:ind w:left="3588" w:hanging="360"/>
      </w:pPr>
      <w:rPr>
        <w:rFonts w:ascii="Noto Sans Symbols" w:eastAsia="Noto Sans Symbols" w:hAnsi="Noto Sans Symbols" w:cs="Noto Sans Symbols"/>
        <w:vertAlign w:val="baseline"/>
      </w:rPr>
    </w:lvl>
    <w:lvl w:ilvl="4">
      <w:start w:val="1"/>
      <w:numFmt w:val="bullet"/>
      <w:lvlText w:val="o"/>
      <w:lvlJc w:val="left"/>
      <w:pPr>
        <w:ind w:left="4308" w:hanging="360"/>
      </w:pPr>
      <w:rPr>
        <w:rFonts w:ascii="Courier New" w:eastAsia="Courier New" w:hAnsi="Courier New" w:cs="Courier New"/>
        <w:vertAlign w:val="baseline"/>
      </w:rPr>
    </w:lvl>
    <w:lvl w:ilvl="5">
      <w:start w:val="1"/>
      <w:numFmt w:val="bullet"/>
      <w:lvlText w:val="▪"/>
      <w:lvlJc w:val="left"/>
      <w:pPr>
        <w:ind w:left="5028" w:hanging="360"/>
      </w:pPr>
      <w:rPr>
        <w:rFonts w:ascii="Noto Sans Symbols" w:eastAsia="Noto Sans Symbols" w:hAnsi="Noto Sans Symbols" w:cs="Noto Sans Symbols"/>
        <w:vertAlign w:val="baseline"/>
      </w:rPr>
    </w:lvl>
    <w:lvl w:ilvl="6">
      <w:start w:val="1"/>
      <w:numFmt w:val="bullet"/>
      <w:lvlText w:val="●"/>
      <w:lvlJc w:val="left"/>
      <w:pPr>
        <w:ind w:left="5748" w:hanging="360"/>
      </w:pPr>
      <w:rPr>
        <w:rFonts w:ascii="Noto Sans Symbols" w:eastAsia="Noto Sans Symbols" w:hAnsi="Noto Sans Symbols" w:cs="Noto Sans Symbols"/>
        <w:vertAlign w:val="baseline"/>
      </w:rPr>
    </w:lvl>
    <w:lvl w:ilvl="7">
      <w:start w:val="1"/>
      <w:numFmt w:val="bullet"/>
      <w:lvlText w:val="o"/>
      <w:lvlJc w:val="left"/>
      <w:pPr>
        <w:ind w:left="6468" w:hanging="360"/>
      </w:pPr>
      <w:rPr>
        <w:rFonts w:ascii="Courier New" w:eastAsia="Courier New" w:hAnsi="Courier New" w:cs="Courier New"/>
        <w:vertAlign w:val="baseline"/>
      </w:rPr>
    </w:lvl>
    <w:lvl w:ilvl="8">
      <w:start w:val="1"/>
      <w:numFmt w:val="bullet"/>
      <w:lvlText w:val="▪"/>
      <w:lvlJc w:val="left"/>
      <w:pPr>
        <w:ind w:left="7188" w:hanging="360"/>
      </w:pPr>
      <w:rPr>
        <w:rFonts w:ascii="Noto Sans Symbols" w:eastAsia="Noto Sans Symbols" w:hAnsi="Noto Sans Symbols" w:cs="Noto Sans Symbols"/>
        <w:vertAlign w:val="baseline"/>
      </w:rPr>
    </w:lvl>
  </w:abstractNum>
  <w:abstractNum w:abstractNumId="1" w15:restartNumberingAfterBreak="0">
    <w:nsid w:val="6C315705"/>
    <w:multiLevelType w:val="multilevel"/>
    <w:tmpl w:val="5B483152"/>
    <w:lvl w:ilvl="0">
      <w:start w:val="1"/>
      <w:numFmt w:val="bullet"/>
      <w:lvlText w:val="●"/>
      <w:lvlJc w:val="left"/>
      <w:pPr>
        <w:ind w:left="1429" w:hanging="360"/>
      </w:pPr>
      <w:rPr>
        <w:rFonts w:ascii="Noto Sans Symbols" w:eastAsia="Noto Sans Symbols" w:hAnsi="Noto Sans Symbols" w:cs="Noto Sans Symbols"/>
        <w:vertAlign w:val="baseline"/>
      </w:rPr>
    </w:lvl>
    <w:lvl w:ilvl="1">
      <w:start w:val="1"/>
      <w:numFmt w:val="bullet"/>
      <w:lvlText w:val="o"/>
      <w:lvlJc w:val="left"/>
      <w:pPr>
        <w:ind w:left="2149" w:hanging="360"/>
      </w:pPr>
      <w:rPr>
        <w:rFonts w:ascii="Courier New" w:eastAsia="Courier New" w:hAnsi="Courier New" w:cs="Courier New"/>
        <w:vertAlign w:val="baseline"/>
      </w:rPr>
    </w:lvl>
    <w:lvl w:ilvl="2">
      <w:start w:val="1"/>
      <w:numFmt w:val="bullet"/>
      <w:lvlText w:val="▪"/>
      <w:lvlJc w:val="left"/>
      <w:pPr>
        <w:ind w:left="2869" w:hanging="360"/>
      </w:pPr>
      <w:rPr>
        <w:rFonts w:ascii="Noto Sans Symbols" w:eastAsia="Noto Sans Symbols" w:hAnsi="Noto Sans Symbols" w:cs="Noto Sans Symbols"/>
        <w:vertAlign w:val="baseline"/>
      </w:rPr>
    </w:lvl>
    <w:lvl w:ilvl="3">
      <w:start w:val="1"/>
      <w:numFmt w:val="bullet"/>
      <w:lvlText w:val="●"/>
      <w:lvlJc w:val="left"/>
      <w:pPr>
        <w:ind w:left="3589" w:hanging="360"/>
      </w:pPr>
      <w:rPr>
        <w:rFonts w:ascii="Noto Sans Symbols" w:eastAsia="Noto Sans Symbols" w:hAnsi="Noto Sans Symbols" w:cs="Noto Sans Symbols"/>
        <w:vertAlign w:val="baseline"/>
      </w:rPr>
    </w:lvl>
    <w:lvl w:ilvl="4">
      <w:start w:val="1"/>
      <w:numFmt w:val="bullet"/>
      <w:lvlText w:val="o"/>
      <w:lvlJc w:val="left"/>
      <w:pPr>
        <w:ind w:left="4309" w:hanging="360"/>
      </w:pPr>
      <w:rPr>
        <w:rFonts w:ascii="Courier New" w:eastAsia="Courier New" w:hAnsi="Courier New" w:cs="Courier New"/>
        <w:vertAlign w:val="baseline"/>
      </w:rPr>
    </w:lvl>
    <w:lvl w:ilvl="5">
      <w:start w:val="1"/>
      <w:numFmt w:val="bullet"/>
      <w:lvlText w:val="▪"/>
      <w:lvlJc w:val="left"/>
      <w:pPr>
        <w:ind w:left="5029" w:hanging="360"/>
      </w:pPr>
      <w:rPr>
        <w:rFonts w:ascii="Noto Sans Symbols" w:eastAsia="Noto Sans Symbols" w:hAnsi="Noto Sans Symbols" w:cs="Noto Sans Symbols"/>
        <w:vertAlign w:val="baseline"/>
      </w:rPr>
    </w:lvl>
    <w:lvl w:ilvl="6">
      <w:start w:val="1"/>
      <w:numFmt w:val="bullet"/>
      <w:lvlText w:val="●"/>
      <w:lvlJc w:val="left"/>
      <w:pPr>
        <w:ind w:left="5749" w:hanging="360"/>
      </w:pPr>
      <w:rPr>
        <w:rFonts w:ascii="Noto Sans Symbols" w:eastAsia="Noto Sans Symbols" w:hAnsi="Noto Sans Symbols" w:cs="Noto Sans Symbols"/>
        <w:vertAlign w:val="baseline"/>
      </w:rPr>
    </w:lvl>
    <w:lvl w:ilvl="7">
      <w:start w:val="1"/>
      <w:numFmt w:val="bullet"/>
      <w:lvlText w:val="o"/>
      <w:lvlJc w:val="left"/>
      <w:pPr>
        <w:ind w:left="6469" w:hanging="360"/>
      </w:pPr>
      <w:rPr>
        <w:rFonts w:ascii="Courier New" w:eastAsia="Courier New" w:hAnsi="Courier New" w:cs="Courier New"/>
        <w:vertAlign w:val="baseline"/>
      </w:rPr>
    </w:lvl>
    <w:lvl w:ilvl="8">
      <w:start w:val="1"/>
      <w:numFmt w:val="bullet"/>
      <w:lvlText w:val="▪"/>
      <w:lvlJc w:val="left"/>
      <w:pPr>
        <w:ind w:left="7189" w:hanging="360"/>
      </w:pPr>
      <w:rPr>
        <w:rFonts w:ascii="Noto Sans Symbols" w:eastAsia="Noto Sans Symbols" w:hAnsi="Noto Sans Symbols" w:cs="Noto Sans Symbols"/>
        <w:vertAlign w:val="baseline"/>
      </w:rPr>
    </w:lvl>
  </w:abstractNum>
  <w:num w:numId="1" w16cid:durableId="393047104">
    <w:abstractNumId w:val="0"/>
  </w:num>
  <w:num w:numId="2" w16cid:durableId="737465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EA2"/>
    <w:rsid w:val="002C7EA2"/>
    <w:rsid w:val="00313273"/>
    <w:rsid w:val="00424706"/>
    <w:rsid w:val="005A58EA"/>
    <w:rsid w:val="007463A2"/>
    <w:rsid w:val="007517F4"/>
    <w:rsid w:val="00800178"/>
    <w:rsid w:val="00873E74"/>
    <w:rsid w:val="008F0E2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EF328"/>
  <w15:docId w15:val="{FB1A28C3-0B61-47D9-ADE8-B9C3E0726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uk"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KjIEfEq0QuDfXEzEKVOR6tJ4mA==">CgMxLjA4AHIhMW15MFRzUjJ6S0pmd2MtTG9Tc3J4RDByRmNJRlNqYmd4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5</Pages>
  <Words>7175</Words>
  <Characters>4091</Characters>
  <Application>Microsoft Office Word</Application>
  <DocSecurity>0</DocSecurity>
  <Lines>34</Lines>
  <Paragraphs>22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6</cp:revision>
  <dcterms:created xsi:type="dcterms:W3CDTF">2026-08-18T13:16:00Z</dcterms:created>
  <dcterms:modified xsi:type="dcterms:W3CDTF">2026-08-20T08:43:00Z</dcterms:modified>
</cp:coreProperties>
</file>