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document.xml.rels" ContentType="application/vnd.openxmlformats-package.relationships+xml"/>
  <Override PartName="/word/media/image1.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9.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hd w:val="clear" w:fill="FFFFFF"/>
        <w:spacing w:lineRule="auto" w:line="288"/>
        <w:ind w:firstLine="709" w:left="4247" w:right="-875"/>
        <w:rPr>
          <w:rFonts w:ascii="Times New Roman" w:hAnsi="Times New Roman" w:eastAsia="Times New Roman" w:cs="Times New Roman"/>
          <w:sz w:val="28"/>
          <w:szCs w:val="28"/>
        </w:rPr>
      </w:pPr>
      <w:r>
        <w:rPr>
          <w:rFonts w:eastAsia="Times New Roman" w:cs="Times New Roman" w:ascii="Times New Roman" w:hAnsi="Times New Roman"/>
          <w:b/>
          <w:bCs/>
          <w:sz w:val="28"/>
          <w:szCs w:val="28"/>
        </w:rPr>
        <w:t>Голові</w:t>
      </w:r>
    </w:p>
    <w:p>
      <w:pPr>
        <w:pStyle w:val="normal1"/>
        <w:shd w:val="clear" w:fill="FFFFFF"/>
        <w:spacing w:lineRule="auto" w:line="288"/>
        <w:ind w:firstLine="709" w:left="4247" w:right="-875"/>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разової спеціалізованої вченої ради </w:t>
      </w:r>
    </w:p>
    <w:p>
      <w:pPr>
        <w:pStyle w:val="normal1"/>
        <w:shd w:val="clear" w:fill="FFFFFF"/>
        <w:spacing w:lineRule="auto" w:line="288"/>
        <w:ind w:firstLine="709" w:left="4247" w:right="-875"/>
        <w:rPr>
          <w:rFonts w:ascii="Times New Roman" w:hAnsi="Times New Roman" w:eastAsia="Times New Roman" w:cs="Times New Roman"/>
          <w:sz w:val="28"/>
          <w:szCs w:val="28"/>
        </w:rPr>
      </w:pPr>
      <w:r>
        <w:rPr>
          <w:rFonts w:eastAsia="Times New Roman" w:cs="Times New Roman" w:ascii="Times New Roman" w:hAnsi="Times New Roman"/>
          <w:sz w:val="28"/>
          <w:szCs w:val="28"/>
        </w:rPr>
        <w:t>Інституту математики НАН України</w:t>
      </w:r>
    </w:p>
    <w:p>
      <w:pPr>
        <w:pStyle w:val="normal1"/>
        <w:spacing w:lineRule="auto" w:line="288"/>
        <w:ind w:firstLine="709" w:left="4247" w:right="-875"/>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доктору фізико-математичних наук, </w:t>
      </w:r>
    </w:p>
    <w:p>
      <w:pPr>
        <w:pStyle w:val="normal1"/>
        <w:spacing w:lineRule="auto" w:line="288"/>
        <w:ind w:firstLine="709" w:left="4247" w:right="-875"/>
        <w:rPr>
          <w:rFonts w:ascii="Times New Roman" w:hAnsi="Times New Roman" w:eastAsia="Times New Roman" w:cs="Times New Roman"/>
          <w:sz w:val="28"/>
          <w:szCs w:val="28"/>
        </w:rPr>
      </w:pPr>
      <w:r>
        <w:rPr>
          <w:rFonts w:eastAsia="Times New Roman" w:cs="Times New Roman" w:ascii="Times New Roman" w:hAnsi="Times New Roman"/>
          <w:sz w:val="28"/>
          <w:szCs w:val="28"/>
        </w:rPr>
        <w:t>заступнику директора з наукових питань</w:t>
      </w:r>
    </w:p>
    <w:p>
      <w:pPr>
        <w:pStyle w:val="normal1"/>
        <w:spacing w:lineRule="auto" w:line="288"/>
        <w:ind w:firstLine="709" w:left="4247" w:right="-875"/>
        <w:rPr>
          <w:rFonts w:ascii="Times New Roman" w:hAnsi="Times New Roman" w:eastAsia="Times New Roman" w:cs="Times New Roman"/>
          <w:sz w:val="28"/>
          <w:szCs w:val="28"/>
        </w:rPr>
      </w:pPr>
      <w:r>
        <w:rPr>
          <w:rFonts w:eastAsia="Times New Roman" w:cs="Times New Roman" w:ascii="Times New Roman" w:hAnsi="Times New Roman"/>
          <w:sz w:val="28"/>
          <w:szCs w:val="28"/>
        </w:rPr>
        <w:t>Інституту математики НАН України</w:t>
      </w:r>
    </w:p>
    <w:p>
      <w:pPr>
        <w:pStyle w:val="normal1"/>
        <w:spacing w:lineRule="auto" w:line="288"/>
        <w:ind w:firstLine="709" w:left="4247" w:right="-875"/>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Василику Віталію Богдановичу</w:t>
      </w:r>
    </w:p>
    <w:p>
      <w:pPr>
        <w:pStyle w:val="normal1"/>
        <w:shd w:val="clear" w:fill="FFFFFF"/>
        <w:spacing w:lineRule="auto" w:line="288"/>
        <w:ind w:right="-875"/>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shd w:val="clear" w:fill="FFFFFF"/>
        <w:spacing w:lineRule="auto" w:line="288"/>
        <w:ind w:right="-875"/>
        <w:jc w:val="center"/>
        <w:rPr>
          <w:rFonts w:ascii="Times New Roman" w:hAnsi="Times New Roman" w:eastAsia="Times New Roman" w:cs="Times New Roman"/>
          <w:sz w:val="28"/>
          <w:szCs w:val="28"/>
        </w:rPr>
      </w:pPr>
      <w:r>
        <w:rPr>
          <w:rFonts w:eastAsia="Times New Roman" w:cs="Times New Roman" w:ascii="Times New Roman" w:hAnsi="Times New Roman"/>
          <w:b/>
          <w:bCs/>
          <w:sz w:val="28"/>
          <w:szCs w:val="28"/>
        </w:rPr>
        <w:t>РЕЦЕНЗІЯ</w:t>
      </w:r>
    </w:p>
    <w:p>
      <w:pPr>
        <w:pStyle w:val="normal1"/>
        <w:shd w:val="clear" w:fill="FFFFFF"/>
        <w:spacing w:lineRule="auto" w:line="288"/>
        <w:ind w:right="-875"/>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 дисертаційну роботу </w:t>
      </w:r>
      <w:r>
        <w:rPr>
          <w:rFonts w:eastAsia="Times New Roman" w:cs="Times New Roman" w:ascii="Times New Roman" w:hAnsi="Times New Roman"/>
          <w:b/>
          <w:bCs/>
          <w:sz w:val="28"/>
          <w:szCs w:val="28"/>
        </w:rPr>
        <w:t>Шамрая Максима Борисовича</w:t>
      </w:r>
      <w:r>
        <w:rPr>
          <w:rFonts w:eastAsia="Times New Roman" w:cs="Times New Roman" w:ascii="Times New Roman" w:hAnsi="Times New Roman"/>
          <w:sz w:val="28"/>
          <w:szCs w:val="28"/>
        </w:rPr>
        <w:t xml:space="preserve"> на тему:</w:t>
      </w:r>
    </w:p>
    <w:p>
      <w:pPr>
        <w:pStyle w:val="normal1"/>
        <w:shd w:val="clear" w:fill="FFFFFF"/>
        <w:spacing w:lineRule="auto" w:line="288"/>
        <w:ind w:right="-875"/>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w:t>
      </w:r>
      <w:r>
        <w:rPr>
          <w:rFonts w:eastAsia="Times New Roman" w:cs="Times New Roman" w:ascii="Times New Roman" w:hAnsi="Times New Roman"/>
          <w:sz w:val="28"/>
          <w:szCs w:val="28"/>
        </w:rPr>
        <w:t xml:space="preserve">Low-rank approximations, perturbation bounds, and their role in model compression” (“Низькоранговi наближення, оцiнки збурень та їх роль у компресiї моделей”), </w:t>
      </w:r>
    </w:p>
    <w:p>
      <w:pPr>
        <w:pStyle w:val="normal1"/>
        <w:shd w:val="clear" w:fill="FFFFFF"/>
        <w:spacing w:lineRule="auto" w:line="288"/>
        <w:ind w:right="-875"/>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подану на здобуття ступеня доктора філософії </w:t>
        <w:br/>
        <w:t xml:space="preserve">у галузі знань 11 Математика та статистика </w:t>
      </w:r>
    </w:p>
    <w:p>
      <w:pPr>
        <w:pStyle w:val="normal1"/>
        <w:shd w:val="clear" w:fill="FFFFFF"/>
        <w:spacing w:lineRule="auto" w:line="288"/>
        <w:ind w:right="-875"/>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за спеціальністю 113 Прикладна математика</w:t>
      </w:r>
    </w:p>
    <w:p>
      <w:pPr>
        <w:pStyle w:val="normal1"/>
        <w:shd w:val="clear" w:fill="FFFFFF"/>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shd w:val="clear" w:fill="FFFFFF"/>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ab/>
        <w:t>У дисертаційній роботі Максима Борисовича Шамрая розглянуто актуальну наукову проблему, пов’язану з ефективною компресією сучасних моделей машинного навчання, розмірність яких стрімко зростає і, як наслідок,  спричиняє пропорційнє зростання вимог щодо обчислювальних ресурсів. У роботі запропоновано підходи до зменшення розмірності моделей на основі нейронних мереж (НМ) із забезпеченням контролю похибки та збереженням якості їх функціонування. Отримані результати базуються на використанні низькорангових наближень, методів теорії збурень та аналізу структурних змін параметрів. На відміну від більшості існуючих підходів, що мають переважно евристичний характер, у дисертації зроблено акцент на побудові математично обґрунтованих методів компресії, придатних для застосування в задачах, пов’язаних із нейронними мережами.</w:t>
      </w:r>
    </w:p>
    <w:p>
      <w:pPr>
        <w:pStyle w:val="normal1"/>
        <w:shd w:val="clear" w:fill="FFFFFF"/>
        <w:spacing w:lineRule="auto" w:line="288"/>
        <w:ind w:firstLine="72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Наукова новизна дисертаційної роботи полягає в новому підході щодо синтезу спеціально отриманих оцінок поведінки збурених матричних моделей до задачі керованої втрати інформації та побудови спіціального інструментарію, який дозволяє кількісно відслідковувати наслідки таких втрат. У цьому контексті низькорангові наближення, збурення сингулярних значень і прунінг виступають не як незалежні техніки, а як елементи єдиного підходу. Така постановка дозволяє перейти від практики «стиснули — перевірили» до побудови процедур, у яких очікувана похибка закладається ще на етапі розробки алгоритму. Практична цінність дисертаційної роботи полягає саме в цій передбачуваності: запропоновані результати можуть бути використані там, де компресія моделі гарантовано повинна зберегти якісну поведінку системи в якій ця модель використовується.</w:t>
      </w:r>
    </w:p>
    <w:p>
      <w:pPr>
        <w:pStyle w:val="normal1"/>
        <w:shd w:val="clear" w:fill="FFFFFF"/>
        <w:spacing w:lineRule="auto" w:line="288"/>
        <w:ind w:firstLine="72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Структура дисертації вибудувана послідовно: від аналізу наявних підходів до формування власних методів та їх верифікації. Перший розділ виконує роль концептуальної основи роботи. У ньому розглянуто як загальні питання побудови нейронних мереж, так і підходи до їх спрощення, включаючи факторизацію матриць і прунінг. Введення задачі для конкатенованих матриць і обговорення інкрементального розкладу матриць з використанням сингулярних значень </w:t>
        <w:br/>
        <w:t>(SVD) виглядає не як технічна деталь, а як підготовка до нової постановки. Аналогічно, використання аналогії «optimal brain damage» підкреслює, що сучасні підходи мають глибші теоретичні корені, ніж це зазвичай вважається. У підсумку згаданий розділ відіграє роль постановки розглядуваних задач а також формування вимог до класу підходящих розв’язків.</w:t>
      </w:r>
    </w:p>
    <w:p>
      <w:pPr>
        <w:pStyle w:val="normal1"/>
        <w:shd w:val="clear" w:fill="FFFFFF"/>
        <w:spacing w:lineRule="auto" w:line="288"/>
        <w:ind w:firstLine="72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Другий розділ присвячено розробленню інструментів для аналізу похибки при зменшенні розмірності моделей НМ. Основна ідея полягає в тому, щоб враховувати не лише окремі матриці коефіцієнтів НМ, а їх взаємодію в рамках розглядуваної НМ. Це дозволяє по-новому подивитися на задачу кластеризації: замість пошуку схожості між об’єктами розглядається їх сумісність з точки зору допустимої похибки. Запропоновані підходи дають можливість будувати алгоритми, у яких розв’язки будуються з урахуванням впливу на якість наближення, а не лише геометричних властивостей даних. Такий підхід є важливим, оскільки він забезпечує зв’язок між теоретичними оцінками і практичними алгоритмами.</w:t>
      </w:r>
    </w:p>
    <w:p>
      <w:pPr>
        <w:pStyle w:val="normal1"/>
        <w:shd w:val="clear" w:fill="FFFFFF"/>
        <w:spacing w:lineRule="auto" w:line="288"/>
        <w:ind w:firstLine="72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У третьому розділі отримані результати та побудовані падардигми застосовуються до аналізу повноцінних моделей машинного навчання. На основі експериментів показано, що ефективність прунінгу залежить від властивостей даних, зокрема від мови, що використовується під час калібрування моделі. Це свідчить про те, що ваги моделей мають складну структурну інформацію. Запропонований підхід до аналізу цієї структури дозволяє розглядати взаємозв’язки між мовами як метричний простір, що відкриває нові можливості для інтерпретації моделей та зв'язків між мовами. Теоретична частина розділу доповнює ці результати, показуючи, як зміни параметрів впливають на поведінку моделей у задачах керування. Важливо, що отримані оцінки мають практичний характер і можуть бути використані без складних обчислювальних процедур.</w:t>
      </w:r>
    </w:p>
    <w:p>
      <w:pPr>
        <w:pStyle w:val="normal1"/>
        <w:shd w:val="clear" w:fill="FFFFFF"/>
        <w:spacing w:lineRule="auto" w:line="288"/>
        <w:ind w:firstLine="72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У цілому дисертація залишає враження чітко спланованого дослідження, в якому теорія і практика взаємно підсилюють одна одну. Запропонований підхід дозволяє розглядати компресію не як виключно технічну оптимізацію, а як задачу з чітко визначеними межами допустимих змін. Це робить результати роботи релевантними для широкого кола задач, де важлива не лише ефективність, але й надійність застосовуваних моделей МН.</w:t>
      </w:r>
    </w:p>
    <w:p>
      <w:pPr>
        <w:pStyle w:val="normal1"/>
        <w:spacing w:lineRule="auto" w:line="288"/>
        <w:ind w:hanging="0" w:left="72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Основними науковими результатами даної дисертаційної роботи є:</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Отримано нові оцінки збурень сингулярних значень для конкатенованих матриць, які враховують їх блокову структуру та дозволяють аналізувати вплив об’єднання матриць на точність низькорангових наближень.</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Запропоновано формалізований підхід до задачі компресійно-орієнтованого групування матриць, у якому критерій об’єднання визначається через обмеження на похибку наближення, що забезпечує перехід від евристичних до обґрунтованих алгоритмічних рішень.</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u w:val="none"/>
        </w:rPr>
      </w:pPr>
      <w:r>
        <w:rPr>
          <w:rFonts w:eastAsia="Times New Roman" w:cs="Times New Roman" w:ascii="Times New Roman" w:hAnsi="Times New Roman"/>
          <w:sz w:val="28"/>
          <w:szCs w:val="28"/>
        </w:rPr>
        <w:t>Обґрунтовано обмеженість застосування класичних методів кластеризації у задачах компресії та показано доцільність використання спеціалізованих підходів, орієнтованих на контроль похибки.</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Одержано оцінки похибки низькорангового наближення, які дозволяють здійснювати послідовне формування кластерів із контролем якості.</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Розроблено алгоритмічні стратегії кластеризації матриць для задачі спільної компресії, що відрізняються за точністю та обчислювальною складністю та забезпечують гнучкість застосування залежно від вимог задачі.</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Проведено аналіз сучасних методів прунінгу великих мовних моделей, у результаті якого встановлено залежність ефективності компресії від мовних характеристик даних, що використовуються на етапі калібрування.</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Запропоновано підхід до побудови метричного простору мов на основі структурних характеристик параметрів нейронних мереж, що дозволяє виявляти змістовні зв’язки між мовами.</w:t>
      </w:r>
    </w:p>
    <w:p>
      <w:pPr>
        <w:pStyle w:val="normal1"/>
        <w:numPr>
          <w:ilvl w:val="0"/>
          <w:numId w:val="1"/>
        </w:numPr>
        <w:spacing w:lineRule="auto" w:line="288"/>
        <w:ind w:hanging="360" w:left="144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Одержано аналітичні оцінки впливу прунінгу на якість нейромережевих моделей у задачах керування та навчання з підкріпленням, які дозволяють оцінювати зміну показників якості внаслідок компресії.</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ab/>
      </w:r>
      <w:r>
        <w:rPr>
          <w:rFonts w:eastAsia="Times New Roman" w:cs="Times New Roman" w:ascii="Times New Roman" w:hAnsi="Times New Roman"/>
          <w:sz w:val="28"/>
          <w:szCs w:val="28"/>
        </w:rPr>
        <w:t>Дисертацію оформлено відповідно до вимог, що висуваються  до кваліфікаційних робіт на здобуття ступеня доктора філософії. Порушень академічної доброчесності у дисертації та наукових працях М.Б. Шамрая не виявлено.</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ab/>
      </w:r>
      <w:r>
        <w:rPr>
          <w:rFonts w:eastAsia="Times New Roman" w:cs="Times New Roman" w:ascii="Times New Roman" w:hAnsi="Times New Roman"/>
          <w:sz w:val="28"/>
          <w:szCs w:val="28"/>
        </w:rPr>
        <w:t>Зауваження та побажання до дисертаційної роботи:</w:t>
      </w:r>
    </w:p>
    <w:p>
      <w:pPr>
        <w:pStyle w:val="normal1"/>
        <w:numPr>
          <w:ilvl w:val="0"/>
          <w:numId w:val="2"/>
        </w:numPr>
        <w:spacing w:lineRule="auto" w:line="288"/>
        <w:ind w:hanging="360" w:left="1428" w:right="-875"/>
        <w:jc w:val="both"/>
        <w:rPr>
          <w:rFonts w:ascii="Noto Sans Symbols" w:hAnsi="Noto Sans Symbols" w:eastAsia="Noto Sans Symbols" w:cs="Noto Sans Symbols"/>
          <w:sz w:val="28"/>
          <w:szCs w:val="28"/>
        </w:rPr>
      </w:pPr>
      <w:r>
        <w:rPr>
          <w:rFonts w:eastAsia="Times New Roman" w:cs="Times New Roman" w:ascii="Times New Roman" w:hAnsi="Times New Roman"/>
          <w:sz w:val="28"/>
          <w:szCs w:val="28"/>
        </w:rPr>
        <w:t>У роботі основний акцент зроблено на застосуванні сингулярного розкладу матриць у задачах компресії. Водночас поза увагою залишено інші поширені підходи до компресії, зокрема тензорні методи, такі як тензорний потяг (Tensor Train) та сингулярний розклад вищих порядків (HOSVD). Незважаючи на відмінності у постановці відповідних задач, порівняння із зазначеними підходами могло б розширити контекст дослідження та дозволило б більш повно окреслити переваги й обмеження запропонованих методів.</w:t>
      </w:r>
    </w:p>
    <w:p>
      <w:pPr>
        <w:pStyle w:val="normal1"/>
        <w:spacing w:lineRule="auto" w:line="288"/>
        <w:ind w:firstLine="720" w:left="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Наведені зауваження не впливають на загальну позитивну оцінку дисертаційної роботи. Дисертація є завершеним науковим дослідженням, виконаним на високому теоретичному та прикладному рівнях, а отримані результати мають суттєве значення для розвитку прикладної математики.</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ab/>
        <w:t>Дисертаційна робота і наукові публікації Максима Борисовича Шамрая</w:t>
      </w:r>
      <w:r>
        <w:rPr>
          <w:rFonts w:eastAsia="Times New Roman" w:cs="Times New Roman" w:ascii="Times New Roman" w:hAnsi="Times New Roman"/>
          <w:b/>
          <w:bCs/>
          <w:sz w:val="28"/>
          <w:szCs w:val="28"/>
        </w:rPr>
        <w:t xml:space="preserve"> </w:t>
      </w:r>
      <w:r>
        <w:rPr>
          <w:rFonts w:eastAsia="Times New Roman" w:cs="Times New Roman" w:ascii="Times New Roman" w:hAnsi="Times New Roman"/>
          <w:sz w:val="28"/>
          <w:szCs w:val="28"/>
        </w:rPr>
        <w:t>відповідають спеціальності 113 Прикладна математика та задовольняють вимоги постанови № 44 Кабінету Міністрів України від 12 січня 2022 р. «Про затвердження Порядку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а їх автор заслуговує на присудження ступеня доктора філософії.</w:t>
      </w:r>
    </w:p>
    <w:p>
      <w:pPr>
        <w:pStyle w:val="normal1"/>
        <w:spacing w:lineRule="auto" w:line="288"/>
        <w:ind w:right="-875"/>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spacing w:lineRule="auto" w:line="288"/>
        <w:ind w:right="-875"/>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spacing w:lineRule="auto" w:line="288"/>
        <w:ind w:right="-875"/>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Рецензент:</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drawing>
          <wp:anchor behindDoc="1" distT="0" distB="0" distL="0" distR="0" simplePos="0" locked="0" layoutInCell="1" allowOverlap="1" relativeHeight="2">
            <wp:simplePos x="0" y="0"/>
            <wp:positionH relativeFrom="column">
              <wp:posOffset>3093720</wp:posOffset>
            </wp:positionH>
            <wp:positionV relativeFrom="paragraph">
              <wp:posOffset>175260</wp:posOffset>
            </wp:positionV>
            <wp:extent cx="1470025" cy="97853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70025" cy="978535"/>
                    </a:xfrm>
                    <a:prstGeom prst="rect">
                      <a:avLst/>
                    </a:prstGeom>
                    <a:noFill/>
                  </pic:spPr>
                </pic:pic>
              </a:graphicData>
            </a:graphic>
          </wp:anchor>
        </w:drawing>
      </w:r>
      <w:r>
        <w:rPr>
          <w:rFonts w:eastAsia="Times New Roman" w:cs="Times New Roman" w:ascii="Times New Roman" w:hAnsi="Times New Roman"/>
          <w:sz w:val="28"/>
          <w:szCs w:val="28"/>
        </w:rPr>
        <w:t xml:space="preserve">старший науковий співробітник </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відділу обчислювальної математики</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Інституту математики НАН України,</w:t>
      </w:r>
    </w:p>
    <w:p>
      <w:pPr>
        <w:pStyle w:val="normal1"/>
        <w:spacing w:lineRule="auto" w:line="288"/>
        <w:ind w:right="-875"/>
        <w:jc w:val="both"/>
        <w:rPr>
          <w:rFonts w:ascii="Times New Roman" w:hAnsi="Times New Roman" w:eastAsia="Times New Roman" w:cs="Times New Roman"/>
          <w:b/>
          <w:bCs/>
          <w:sz w:val="28"/>
          <w:szCs w:val="28"/>
        </w:rPr>
      </w:pPr>
      <w:r>
        <w:rPr>
          <w:rFonts w:eastAsia="Times New Roman" w:cs="Times New Roman" w:ascii="Times New Roman" w:hAnsi="Times New Roman"/>
          <w:sz w:val="28"/>
          <w:szCs w:val="28"/>
        </w:rPr>
        <w:t>кандидат фізико-математичних наук,</w:t>
      </w:r>
    </w:p>
    <w:p>
      <w:pPr>
        <w:pStyle w:val="normal1"/>
        <w:spacing w:lineRule="auto" w:line="288"/>
        <w:ind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Ситник Дмитро Олексійович</w:t>
      </w:r>
      <w:r>
        <w:rPr>
          <w:rFonts w:eastAsia="Times New Roman" w:cs="Times New Roman" w:ascii="Times New Roman" w:hAnsi="Times New Roman"/>
          <w:b/>
          <w:bCs/>
          <w:sz w:val="28"/>
          <w:szCs w:val="28"/>
        </w:rPr>
        <w:tab/>
        <w:tab/>
        <w:tab/>
        <w:tab/>
        <w:tab/>
        <w:tab/>
        <w:t>________</w:t>
      </w:r>
      <w:r>
        <w:rPr>
          <w:rFonts w:eastAsia="Times New Roman" w:cs="Times New Roman" w:ascii="Times New Roman" w:hAnsi="Times New Roman"/>
          <w:b/>
          <w:bCs/>
          <w:sz w:val="28"/>
          <w:szCs w:val="28"/>
          <w:u w:val="single"/>
        </w:rPr>
        <w:t>30.04.2026</w:t>
      </w:r>
      <w:r>
        <w:rPr>
          <w:rFonts w:eastAsia="Times New Roman" w:cs="Times New Roman" w:ascii="Times New Roman" w:hAnsi="Times New Roman"/>
          <w:b/>
          <w:bCs/>
          <w:sz w:val="28"/>
          <w:szCs w:val="28"/>
        </w:rPr>
        <w:t>__</w:t>
      </w:r>
    </w:p>
    <w:p>
      <w:pPr>
        <w:pStyle w:val="normal1"/>
        <w:spacing w:lineRule="auto" w:line="288"/>
        <w:ind w:firstLine="720" w:left="7200" w:right="-875"/>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Дата</w:t>
        <w:tab/>
        <w:tab/>
        <w:tab/>
        <w:tab/>
        <w:tab/>
      </w:r>
    </w:p>
    <w:p>
      <w:pPr>
        <w:pStyle w:val="normal1"/>
        <w:ind w:right="-875"/>
        <w:rPr/>
      </w:pPr>
      <w:r>
        <w:rPr/>
      </w:r>
    </w:p>
    <w:sectPr>
      <w:type w:val="nextPage"/>
      <w:pgSz w:w="11906" w:h="16838"/>
      <w:pgMar w:left="1134" w:right="1440"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Noto Sans Symbols">
    <w:charset w:val="01"/>
    <w:family w:val="roman"/>
    <w:pitch w:val="variable"/>
    <w:embedRegular r:id="rId17" w:fontKey="{11014A78-CABC-4EF0-12AC-5CD89AEFDE11}"/>
    <w:embedBold r:id="rId18" w:fontKey="{12014A78-CABC-4EF0-12AC-5CD89AEFDE12}"/>
  </w:font>
  <w:font w:name="Wingdings">
    <w:charset w:val="02"/>
    <w:family w:val="auto"/>
    <w:pitch w:val="default"/>
  </w:font>
  <w:font w:name="Wingdings 2">
    <w:charset w:val="02"/>
    <w:family w:val="auto"/>
    <w:pitch w:val="default"/>
  </w:font>
  <w:font w:name="OpenSymbol">
    <w:altName w:val="Arial Unicode MS"/>
    <w:charset w:val="01"/>
    <w:family w:val="auto"/>
    <w:pitch w:val="variable"/>
    <w:embedRegular r:id="rId19" w:fontKey="{13014A78-CABC-4EF0-12AC-5CD89AEFDE13}"/>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
    <w:lvl w:ilvl="0">
      <w:start w:val="1"/>
      <w:numFmt w:val="bullet"/>
      <w:lvlText w:val=""/>
      <w:lvlJc w:val="left"/>
      <w:pPr>
        <w:tabs>
          <w:tab w:val="num" w:pos="0"/>
        </w:tabs>
        <w:ind w:left="1428" w:hanging="360"/>
      </w:pPr>
      <w:rPr>
        <w:rFonts w:ascii="Wingdings" w:hAnsi="Wingdings" w:cs="Wingdings" w:hint="default"/>
        <w:u w:val="none"/>
      </w:rPr>
    </w:lvl>
    <w:lvl w:ilvl="1">
      <w:start w:val="1"/>
      <w:numFmt w:val="bullet"/>
      <w:lvlText w:val="o"/>
      <w:lvlJc w:val="left"/>
      <w:pPr>
        <w:tabs>
          <w:tab w:val="num" w:pos="0"/>
        </w:tabs>
        <w:ind w:left="2148" w:hanging="360"/>
      </w:pPr>
      <w:rPr>
        <w:rFonts w:ascii="OpenSymbol" w:hAnsi="OpenSymbol" w:cs="OpenSymbol" w:hint="default"/>
        <w:u w:val="none"/>
      </w:rPr>
    </w:lvl>
    <w:lvl w:ilvl="2">
      <w:start w:val="1"/>
      <w:numFmt w:val="bullet"/>
      <w:lvlText w:val="▪"/>
      <w:lvlJc w:val="left"/>
      <w:pPr>
        <w:tabs>
          <w:tab w:val="num" w:pos="0"/>
        </w:tabs>
        <w:ind w:left="2868" w:hanging="360"/>
      </w:pPr>
      <w:rPr>
        <w:rFonts w:ascii="OpenSymbol" w:hAnsi="OpenSymbol" w:cs="OpenSymbol" w:hint="default"/>
        <w:u w:val="none"/>
      </w:rPr>
    </w:lvl>
    <w:lvl w:ilvl="3">
      <w:start w:val="1"/>
      <w:numFmt w:val="bullet"/>
      <w:lvlText w:val=""/>
      <w:lvlJc w:val="left"/>
      <w:pPr>
        <w:tabs>
          <w:tab w:val="num" w:pos="0"/>
        </w:tabs>
        <w:ind w:left="3588" w:hanging="360"/>
      </w:pPr>
      <w:rPr>
        <w:rFonts w:ascii="Wingdings" w:hAnsi="Wingdings" w:cs="Wingdings" w:hint="default"/>
        <w:u w:val="none"/>
      </w:rPr>
    </w:lvl>
    <w:lvl w:ilvl="4">
      <w:start w:val="1"/>
      <w:numFmt w:val="bullet"/>
      <w:lvlText w:val="o"/>
      <w:lvlJc w:val="left"/>
      <w:pPr>
        <w:tabs>
          <w:tab w:val="num" w:pos="0"/>
        </w:tabs>
        <w:ind w:left="4308" w:hanging="360"/>
      </w:pPr>
      <w:rPr>
        <w:rFonts w:ascii="OpenSymbol" w:hAnsi="OpenSymbol" w:cs="OpenSymbol" w:hint="default"/>
        <w:u w:val="none"/>
      </w:rPr>
    </w:lvl>
    <w:lvl w:ilvl="5">
      <w:start w:val="1"/>
      <w:numFmt w:val="bullet"/>
      <w:lvlText w:val="▪"/>
      <w:lvlJc w:val="left"/>
      <w:pPr>
        <w:tabs>
          <w:tab w:val="num" w:pos="0"/>
        </w:tabs>
        <w:ind w:left="5028" w:hanging="360"/>
      </w:pPr>
      <w:rPr>
        <w:rFonts w:ascii="OpenSymbol" w:hAnsi="OpenSymbol" w:cs="OpenSymbol" w:hint="default"/>
        <w:u w:val="none"/>
      </w:rPr>
    </w:lvl>
    <w:lvl w:ilvl="6">
      <w:start w:val="1"/>
      <w:numFmt w:val="bullet"/>
      <w:lvlText w:val=""/>
      <w:lvlJc w:val="left"/>
      <w:pPr>
        <w:tabs>
          <w:tab w:val="num" w:pos="0"/>
        </w:tabs>
        <w:ind w:left="5748" w:hanging="360"/>
      </w:pPr>
      <w:rPr>
        <w:rFonts w:ascii="Wingdings" w:hAnsi="Wingdings" w:cs="Wingdings" w:hint="default"/>
        <w:u w:val="none"/>
      </w:rPr>
    </w:lvl>
    <w:lvl w:ilvl="7">
      <w:start w:val="1"/>
      <w:numFmt w:val="bullet"/>
      <w:lvlText w:val="o"/>
      <w:lvlJc w:val="left"/>
      <w:pPr>
        <w:tabs>
          <w:tab w:val="num" w:pos="0"/>
        </w:tabs>
        <w:ind w:left="6468" w:hanging="360"/>
      </w:pPr>
      <w:rPr>
        <w:rFonts w:ascii="OpenSymbol" w:hAnsi="OpenSymbol" w:cs="OpenSymbol" w:hint="default"/>
        <w:u w:val="none"/>
      </w:rPr>
    </w:lvl>
    <w:lvl w:ilvl="8">
      <w:start w:val="1"/>
      <w:numFmt w:val="bullet"/>
      <w:lvlText w:val="▪"/>
      <w:lvlJc w:val="left"/>
      <w:pPr>
        <w:tabs>
          <w:tab w:val="num" w:pos="0"/>
        </w:tabs>
        <w:ind w:left="7188"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isplayBackgroundShape/>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uk-UA"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uk-UA"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Noto Sans SC"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uk-UA"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9</TotalTime>
  <Application>LibreOffice/25.2.7.2$Linux_X86_64 LibreOffice_project/520$Build-2</Application>
  <AppVersion>15.0000</AppVersion>
  <Pages>4</Pages>
  <Words>1025</Words>
  <Characters>7224</Characters>
  <CharactersWithSpaces>8231</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Dmytro Sytnyk</cp:lastModifiedBy>
  <dcterms:modified xsi:type="dcterms:W3CDTF">2026-04-30T15:01:26Z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